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1"/>
        <w:gridCol w:w="7"/>
        <w:gridCol w:w="1071"/>
        <w:gridCol w:w="32"/>
        <w:gridCol w:w="1140"/>
        <w:gridCol w:w="1068"/>
        <w:gridCol w:w="9"/>
      </w:tblGrid>
      <w:tr w:rsidR="00746C8F" w:rsidRPr="004B0AAA" w:rsidTr="00A41E9A">
        <w:trPr>
          <w:gridAfter w:val="1"/>
          <w:wAfter w:w="5" w:type="pct"/>
          <w:trHeight w:val="300"/>
          <w:tblHeader/>
        </w:trPr>
        <w:tc>
          <w:tcPr>
            <w:tcW w:w="49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3C085B" w:rsidRDefault="00746C8F" w:rsidP="00A41E9A">
            <w:pPr>
              <w:rPr>
                <w:lang w:bidi="en-US"/>
              </w:rPr>
            </w:pPr>
            <w:bookmarkStart w:id="0" w:name="_GoBack"/>
            <w:bookmarkEnd w:id="0"/>
            <w:r w:rsidRPr="003C085B">
              <w:rPr>
                <w:rFonts w:eastAsiaTheme="minorEastAsia" w:cs="Times New Roman"/>
                <w:b/>
                <w:bCs/>
                <w:szCs w:val="20"/>
                <w:lang w:bidi="en-US"/>
              </w:rPr>
              <w:t>Worksheet</w:t>
            </w:r>
            <w:r>
              <w:rPr>
                <w:rFonts w:eastAsiaTheme="minorEastAsia" w:cs="Times New Roman"/>
                <w:b/>
                <w:bCs/>
                <w:szCs w:val="20"/>
                <w:lang w:bidi="en-US"/>
              </w:rPr>
              <w:t xml:space="preserve"> 10</w:t>
            </w:r>
            <w:r w:rsidRPr="003C085B">
              <w:rPr>
                <w:rFonts w:eastAsiaTheme="minorEastAsia" w:cs="Times New Roman"/>
                <w:b/>
                <w:bCs/>
                <w:szCs w:val="20"/>
                <w:lang w:bidi="en-US"/>
              </w:rPr>
              <w:t xml:space="preserve">: </w:t>
            </w:r>
            <w:r>
              <w:rPr>
                <w:rFonts w:eastAsiaTheme="minorEastAsia" w:cs="Times New Roman"/>
                <w:b/>
                <w:bCs/>
                <w:szCs w:val="20"/>
                <w:lang w:bidi="en-US"/>
              </w:rPr>
              <w:t>Nomograph Method for Determining Capture Efficiency of Harvest and Use BMPs</w:t>
            </w:r>
            <w:r w:rsidRPr="003C085B">
              <w:rPr>
                <w:lang w:bidi="en-US"/>
              </w:rPr>
              <w:t xml:space="preserve"> </w:t>
            </w:r>
          </w:p>
        </w:tc>
      </w:tr>
      <w:tr w:rsidR="00746C8F" w:rsidRPr="004B0AAA" w:rsidTr="00A41E9A">
        <w:trPr>
          <w:trHeight w:val="330"/>
        </w:trPr>
        <w:tc>
          <w:tcPr>
            <w:tcW w:w="5000" w:type="pct"/>
            <w:gridSpan w:val="8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 1: Calculate the EIATA and the effect of upstream HSCs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1a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bottom"/>
            <w:hideMark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Landscape area irrigated with harvested water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1b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bottom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Area-weighted landscape coefficient (typically 0.7 for active turf, 0.35 for conservation landscape design)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2526">
              <w:rPr>
                <w:rFonts w:ascii="Arial" w:eastAsia="Times New Roman" w:hAnsi="Arial" w:cs="Arial"/>
                <w:color w:val="000000"/>
              </w:rPr>
              <w:t>1c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bottom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Irrigation efficiency (typically 0.90)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IE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1d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</w:tcPr>
          <w:p w:rsidR="00746C8F" w:rsidRPr="00753C97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Enter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DMA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area tributary to BMP (s), 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(not including any self-retaining areas)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753C97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1e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</w:tcPr>
          <w:p w:rsidR="00746C8F" w:rsidRPr="00753C97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DMA</w:t>
            </w:r>
            <w:r w:rsidRPr="004B0AAA">
              <w:rPr>
                <w:rFonts w:ascii="Arial" w:hAnsi="Arial" w:cs="Arial"/>
                <w:sz w:val="20"/>
                <w:szCs w:val="20"/>
              </w:rPr>
              <w:t xml:space="preserve"> Imperviousness, </w:t>
            </w:r>
            <w:r w:rsidRPr="004B0AAA">
              <w:rPr>
                <w:rFonts w:ascii="Arial" w:hAnsi="Arial" w:cs="Arial"/>
                <w:i/>
                <w:sz w:val="20"/>
                <w:szCs w:val="20"/>
              </w:rPr>
              <w:t>imp</w:t>
            </w:r>
            <w:r w:rsidRPr="004B0AAA">
              <w:rPr>
                <w:rFonts w:ascii="Arial" w:hAnsi="Arial" w:cs="Arial"/>
                <w:sz w:val="20"/>
                <w:szCs w:val="20"/>
              </w:rPr>
              <w:t xml:space="preserve"> (unitless) 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EF054D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612526" w:rsidRDefault="00746C8F" w:rsidP="00A41E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1f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left w:w="115" w:type="dxa"/>
              <w:bottom w:w="36" w:type="dxa"/>
              <w:right w:w="115" w:type="dxa"/>
            </w:tcMar>
            <w:vAlign w:val="center"/>
            <w:hideMark/>
          </w:tcPr>
          <w:p w:rsidR="00746C8F" w:rsidRPr="00A97DAC" w:rsidRDefault="00746C8F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 Irrigated Area to Tributary Area ratio, EIATA = LA * K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(IE * imp * A)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bottom"/>
          </w:tcPr>
          <w:p w:rsidR="00746C8F" w:rsidRPr="004B0AAA" w:rsidRDefault="00746C8F" w:rsidP="00A41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EIATA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ac/ac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746C8F" w:rsidRPr="00DC3C43" w:rsidRDefault="00746C8F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Enter capture efficiency corresponding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upstream HSCs 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Worksheet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 and locate on</w:t>
            </w:r>
            <w:r w:rsidR="00E65579">
              <w:rPr>
                <w:rFonts w:ascii="Arial" w:eastAsia="Times New Roman" w:hAnsi="Arial" w:cs="Arial"/>
                <w:sz w:val="20"/>
                <w:szCs w:val="20"/>
              </w:rPr>
              <w:t xml:space="preserve"> Figure E-8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or the figure within the worksheet below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F6468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3B81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612526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746C8F" w:rsidRPr="001273E9" w:rsidRDefault="00746C8F" w:rsidP="00A41E9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E65579">
              <w:rPr>
                <w:rFonts w:ascii="Arial" w:eastAsia="Times New Roman" w:hAnsi="Arial" w:cs="Arial"/>
                <w:sz w:val="20"/>
                <w:szCs w:val="20"/>
              </w:rPr>
              <w:t xml:space="preserve"> Figure E-8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or the figure within the worksheet below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determine the cistern volume as a fraction of the DCV corresponding to the capture efficiency of the HSCs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trHeight w:val="494"/>
        </w:trPr>
        <w:tc>
          <w:tcPr>
            <w:tcW w:w="5000" w:type="pct"/>
            <w:gridSpan w:val="8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 2: Calculate the DCV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  <w:r w:rsidRPr="0075513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percentile, 24-hour design storm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043B81">
              <w:rPr>
                <w:rFonts w:ascii="Arial" w:eastAsia="Times New Roman" w:hAnsi="Arial" w:cs="Arial"/>
                <w:sz w:val="20"/>
                <w:szCs w:val="20"/>
              </w:rPr>
              <w:t xml:space="preserve"> 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5a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C= (0.75 x imp) + 0.15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C=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gridAfter w:val="1"/>
          <w:wAfter w:w="5" w:type="pct"/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  <w:hideMark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5b</w:t>
            </w:r>
          </w:p>
        </w:tc>
        <w:tc>
          <w:tcPr>
            <w:tcW w:w="2918" w:type="pct"/>
            <w:gridSpan w:val="2"/>
            <w:shd w:val="clear" w:color="auto" w:fill="auto"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Calculate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DCV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d x A x 43560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sf/ac x 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(1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ft</w:t>
            </w:r>
            <w:proofErr w:type="spellEnd"/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/12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in</w:t>
            </w:r>
            <w:r w:rsidRPr="004B0AAA">
              <w:rPr>
                <w:rFonts w:ascii="Arial" w:eastAsia="Times New Roman" w:hAnsi="Arial" w:cs="Arial"/>
                <w:i/>
                <w:sz w:val="20"/>
                <w:szCs w:val="20"/>
              </w:rPr>
              <w:t>))</w:t>
            </w:r>
          </w:p>
        </w:tc>
        <w:tc>
          <w:tcPr>
            <w:tcW w:w="595" w:type="pct"/>
            <w:gridSpan w:val="2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615" w:type="pct"/>
            <w:tcMar>
              <w:top w:w="36" w:type="dxa"/>
              <w:bottom w:w="36" w:type="dxa"/>
            </w:tcMar>
          </w:tcPr>
          <w:p w:rsidR="00746C8F" w:rsidRPr="004B0AAA" w:rsidRDefault="00746C8F" w:rsidP="00A41E9A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6" w:type="pct"/>
            <w:tcMar>
              <w:top w:w="36" w:type="dxa"/>
              <w:bottom w:w="36" w:type="dxa"/>
            </w:tcMar>
            <w:vAlign w:val="center"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 w:rsidRPr="004B0AAA"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746C8F" w:rsidRPr="004B0AAA" w:rsidTr="00A41E9A">
        <w:trPr>
          <w:trHeight w:val="330"/>
        </w:trPr>
        <w:tc>
          <w:tcPr>
            <w:tcW w:w="5000" w:type="pct"/>
            <w:gridSpan w:val="8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t>Part 3: Calculate capture efficiency</w:t>
            </w:r>
          </w:p>
        </w:tc>
      </w:tr>
      <w:tr w:rsidR="00746C8F" w:rsidRPr="004B0AAA" w:rsidTr="00A41E9A">
        <w:trPr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746C8F" w:rsidRPr="0041319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Storage Volume of BMP (cistern, vault, etc.)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746C8F" w:rsidRPr="00596B42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746C8F" w:rsidRPr="00596B42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746C8F" w:rsidRPr="00596B42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746C8F" w:rsidRPr="004B0AAA" w:rsidTr="00A41E9A">
        <w:trPr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746C8F" w:rsidRPr="00EF054D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Storage Volume as a fraction of DCV,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frac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V/CDV 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746C8F" w:rsidRPr="00755134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frac</w:t>
            </w:r>
            <w:proofErr w:type="spellEnd"/>
          </w:p>
        </w:tc>
        <w:tc>
          <w:tcPr>
            <w:tcW w:w="632" w:type="pct"/>
            <w:gridSpan w:val="2"/>
            <w:shd w:val="clear" w:color="auto" w:fill="auto"/>
          </w:tcPr>
          <w:p w:rsidR="00746C8F" w:rsidRPr="00596B42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746C8F" w:rsidRPr="004B0AAA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 equivalent volume as a fraction of DCV from combination of HSCs and harvest and use BMPs,</w:t>
            </w:r>
          </w:p>
          <w:p w:rsidR="00746C8F" w:rsidRPr="006E56DE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X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frac</w:t>
            </w:r>
            <w:proofErr w:type="spellEnd"/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746C8F" w:rsidRPr="006E56DE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746C8F" w:rsidRPr="00596B42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746C8F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6C8F" w:rsidRPr="004B0AAA" w:rsidTr="00A41E9A">
        <w:trPr>
          <w:trHeight w:val="330"/>
        </w:trPr>
        <w:tc>
          <w:tcPr>
            <w:tcW w:w="291" w:type="pct"/>
            <w:shd w:val="clear" w:color="auto" w:fill="auto"/>
            <w:noWrap/>
            <w:tcMar>
              <w:top w:w="36" w:type="dxa"/>
              <w:bottom w:w="36" w:type="dxa"/>
            </w:tcMar>
            <w:vAlign w:val="bottom"/>
          </w:tcPr>
          <w:p w:rsidR="00746C8F" w:rsidRPr="00612526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14" w:type="pct"/>
            <w:shd w:val="clear" w:color="auto" w:fill="auto"/>
            <w:vAlign w:val="center"/>
          </w:tcPr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0AAA">
              <w:rPr>
                <w:rFonts w:ascii="Arial" w:eastAsia="Times New Roman" w:hAnsi="Arial" w:cs="Arial"/>
                <w:sz w:val="20"/>
                <w:szCs w:val="20"/>
              </w:rPr>
              <w:t>Using</w:t>
            </w:r>
            <w:r w:rsidR="00E65579">
              <w:rPr>
                <w:rFonts w:ascii="Arial" w:eastAsia="Times New Roman" w:hAnsi="Arial" w:cs="Arial"/>
                <w:sz w:val="20"/>
                <w:szCs w:val="20"/>
              </w:rPr>
              <w:t xml:space="preserve"> Figure E-8 </w:t>
            </w:r>
            <w:r w:rsidRPr="00DC3C43">
              <w:rPr>
                <w:rFonts w:ascii="Arial" w:eastAsia="Times New Roman" w:hAnsi="Arial" w:cs="Arial"/>
                <w:sz w:val="20"/>
                <w:szCs w:val="20"/>
              </w:rPr>
              <w:t>or the figure within the worksheet below</w:t>
            </w:r>
            <w:r w:rsidRPr="004B0AA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determine the capture efficiency of the harvest and use BMPs and any upstream HSCs</w:t>
            </w:r>
          </w:p>
        </w:tc>
        <w:tc>
          <w:tcPr>
            <w:tcW w:w="582" w:type="pct"/>
            <w:gridSpan w:val="2"/>
            <w:shd w:val="clear" w:color="auto" w:fill="auto"/>
            <w:vAlign w:val="center"/>
          </w:tcPr>
          <w:p w:rsidR="00746C8F" w:rsidRPr="006E56DE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746C8F" w:rsidRPr="00596B42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746C8F" w:rsidRDefault="00746C8F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746C8F" w:rsidRPr="004B0AAA" w:rsidTr="00A41E9A">
        <w:trPr>
          <w:trHeight w:val="330"/>
        </w:trPr>
        <w:tc>
          <w:tcPr>
            <w:tcW w:w="5000" w:type="pct"/>
            <w:gridSpan w:val="8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>
              <w:lastRenderedPageBreak/>
              <w:t>Supporting Calculations</w:t>
            </w:r>
          </w:p>
        </w:tc>
      </w:tr>
      <w:tr w:rsidR="00746C8F" w:rsidRPr="004B0AAA" w:rsidTr="00A41E9A">
        <w:trPr>
          <w:gridAfter w:val="1"/>
          <w:wAfter w:w="5" w:type="pct"/>
          <w:trHeight w:val="1718"/>
        </w:trPr>
        <w:tc>
          <w:tcPr>
            <w:tcW w:w="4995" w:type="pct"/>
            <w:gridSpan w:val="7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746C8F" w:rsidRPr="004B0AAA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system:</w:t>
            </w:r>
          </w:p>
        </w:tc>
      </w:tr>
      <w:tr w:rsidR="00746C8F" w:rsidRPr="004B0AAA" w:rsidTr="00A41E9A">
        <w:trPr>
          <w:trHeight w:val="330"/>
        </w:trPr>
        <w:tc>
          <w:tcPr>
            <w:tcW w:w="5000" w:type="pct"/>
            <w:gridSpan w:val="8"/>
            <w:shd w:val="clear" w:color="auto" w:fill="D9D9D9"/>
            <w:noWrap/>
            <w:tcMar>
              <w:top w:w="36" w:type="dxa"/>
              <w:bottom w:w="36" w:type="dxa"/>
            </w:tcMar>
            <w:vAlign w:val="center"/>
            <w:hideMark/>
          </w:tcPr>
          <w:p w:rsidR="00746C8F" w:rsidRPr="004B0AAA" w:rsidRDefault="00746C8F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  <w:rPr>
                <w:color w:val="000000"/>
              </w:rPr>
            </w:pPr>
            <w:r w:rsidRPr="001A75FD">
              <w:t>Graphical Operations</w:t>
            </w:r>
          </w:p>
        </w:tc>
      </w:tr>
      <w:tr w:rsidR="00746C8F" w:rsidRPr="004B0AAA" w:rsidTr="00A41E9A">
        <w:trPr>
          <w:gridAfter w:val="1"/>
          <w:wAfter w:w="5" w:type="pct"/>
          <w:trHeight w:val="1718"/>
        </w:trPr>
        <w:tc>
          <w:tcPr>
            <w:tcW w:w="4995" w:type="pct"/>
            <w:gridSpan w:val="7"/>
            <w:shd w:val="clear" w:color="auto" w:fill="auto"/>
            <w:noWrap/>
            <w:tcMar>
              <w:top w:w="36" w:type="dxa"/>
              <w:bottom w:w="36" w:type="dxa"/>
            </w:tcMar>
            <w:hideMark/>
          </w:tcPr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7A033C" wp14:editId="00DAE44D">
                  <wp:extent cx="5585350" cy="3604260"/>
                  <wp:effectExtent l="0" t="0" r="0" b="0"/>
                  <wp:docPr id="10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890" cy="3625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supporting graphical operations.</w:t>
            </w:r>
          </w:p>
          <w:p w:rsidR="00746C8F" w:rsidRDefault="00746C8F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46C8F" w:rsidRPr="000E47B1" w:rsidRDefault="00746C8F" w:rsidP="00746C8F"/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8F"/>
    <w:rsid w:val="00746C8F"/>
    <w:rsid w:val="00B40158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4D0F"/>
  <w15:chartTrackingRefBased/>
  <w15:docId w15:val="{128CA755-C217-4B0F-8378-DFC36C41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C8F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746C8F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746C8F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2017-08-08T22:52:00Z</dcterms:created>
  <dcterms:modified xsi:type="dcterms:W3CDTF">2017-08-08T22:53:00Z</dcterms:modified>
</cp:coreProperties>
</file>